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FD386" w14:textId="77777777" w:rsidR="00B63E93" w:rsidRPr="008008D3" w:rsidRDefault="00B63E93" w:rsidP="00C62BE4">
      <w:pPr>
        <w:shd w:val="clear" w:color="auto" w:fill="FFFFFF"/>
        <w:spacing w:line="360" w:lineRule="auto"/>
        <w:jc w:val="center"/>
        <w:rPr>
          <w:rFonts w:ascii="Calibri" w:eastAsia="Calibri" w:hAnsi="Calibri" w:cs="Calibri"/>
          <w:color w:val="002060"/>
          <w:sz w:val="24"/>
          <w:szCs w:val="24"/>
        </w:rPr>
      </w:pPr>
    </w:p>
    <w:p w14:paraId="0712905B" w14:textId="77777777" w:rsidR="00B63E93" w:rsidRPr="008008D3" w:rsidRDefault="00B76FCC" w:rsidP="00C62BE4">
      <w:pPr>
        <w:tabs>
          <w:tab w:val="center" w:pos="0"/>
        </w:tabs>
        <w:spacing w:before="120" w:line="360" w:lineRule="auto"/>
        <w:jc w:val="center"/>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ANEXO 01 - CATEGORIAS E COTAS</w:t>
      </w:r>
    </w:p>
    <w:p w14:paraId="6E389569" w14:textId="77777777" w:rsidR="00B63E93" w:rsidRPr="008008D3" w:rsidRDefault="00B63E93" w:rsidP="00C62BE4">
      <w:pPr>
        <w:tabs>
          <w:tab w:val="center" w:pos="0"/>
        </w:tabs>
        <w:spacing w:line="360" w:lineRule="auto"/>
        <w:jc w:val="both"/>
        <w:rPr>
          <w:rFonts w:ascii="Calibri" w:eastAsia="Calibri" w:hAnsi="Calibri" w:cs="Calibri"/>
          <w:b/>
          <w:color w:val="002060"/>
          <w:sz w:val="24"/>
          <w:szCs w:val="24"/>
        </w:rPr>
      </w:pPr>
    </w:p>
    <w:p w14:paraId="0BC8D4FF" w14:textId="77777777" w:rsidR="00B63E93" w:rsidRPr="008008D3" w:rsidRDefault="00B76FCC" w:rsidP="00C62BE4">
      <w:pPr>
        <w:tabs>
          <w:tab w:val="center" w:pos="0"/>
        </w:tabs>
        <w:spacing w:line="360" w:lineRule="auto"/>
        <w:jc w:val="both"/>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CATEGORIAS</w:t>
      </w:r>
    </w:p>
    <w:p w14:paraId="076F5BDD"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20739BE6" w14:textId="77777777" w:rsidR="009E3F72"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Visando à desconcentração territorial e à regionalização, os Entes Federativos devem estar atentos ao previsto no Capítulo VI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14:paraId="7921A466" w14:textId="77777777" w:rsidR="009E3F72" w:rsidRPr="008008D3" w:rsidRDefault="009E3F72" w:rsidP="00C62BE4">
      <w:pPr>
        <w:tabs>
          <w:tab w:val="center" w:pos="0"/>
        </w:tabs>
        <w:spacing w:line="360" w:lineRule="auto"/>
        <w:jc w:val="both"/>
        <w:rPr>
          <w:rFonts w:ascii="Calibri" w:eastAsia="Calibri" w:hAnsi="Calibri" w:cs="Calibri"/>
          <w:color w:val="002060"/>
          <w:sz w:val="24"/>
          <w:szCs w:val="24"/>
        </w:rPr>
      </w:pPr>
    </w:p>
    <w:p w14:paraId="372804E5" w14:textId="0E30971B"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Em especial, destaca-se:</w:t>
      </w:r>
    </w:p>
    <w:p w14:paraId="70B76C81" w14:textId="77777777" w:rsidR="009E3F72" w:rsidRPr="008008D3" w:rsidRDefault="009E3F72" w:rsidP="00C62BE4">
      <w:pPr>
        <w:tabs>
          <w:tab w:val="center" w:pos="0"/>
        </w:tabs>
        <w:spacing w:line="360" w:lineRule="auto"/>
        <w:jc w:val="both"/>
        <w:rPr>
          <w:rFonts w:ascii="Calibri" w:eastAsia="Calibri" w:hAnsi="Calibri" w:cs="Calibri"/>
          <w:color w:val="002060"/>
          <w:sz w:val="24"/>
          <w:szCs w:val="24"/>
        </w:rPr>
      </w:pPr>
    </w:p>
    <w:p w14:paraId="15509B4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“CAPÍTULO VI</w:t>
      </w:r>
    </w:p>
    <w:p w14:paraId="50620E0B"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DAS MEDIDAS DE DESCONCENTRAÇÃO TERRITORIAL E REGIONALIZAÇÃO</w:t>
      </w:r>
    </w:p>
    <w:p w14:paraId="5CC1A39F"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15. Os entes deverão instituir mecanismos de desconcentração territorial e regionalização dos recursos, inclusive com vistas à implementação do percentual de 20% (vinte por cento) de que trata o art. 6º, II, da PNAB, em ações de incentivo direto a programas, a projetos e a ações de democratização do acesso à fruição e à produção artística e cultural em áreas periféricas, urbanas e rurais, e em territórios e regiões de maior vulnerabilidade econômica ou social, bem como em áreas de povos e comunidades tradicionais, quais sejam:</w:t>
      </w:r>
    </w:p>
    <w:p w14:paraId="0BAEEC9F"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 - </w:t>
      </w:r>
      <w:proofErr w:type="gramStart"/>
      <w:r w:rsidRPr="008008D3">
        <w:rPr>
          <w:rFonts w:ascii="Calibri" w:eastAsia="Calibri" w:hAnsi="Calibri" w:cs="Calibri"/>
          <w:color w:val="002060"/>
          <w:sz w:val="24"/>
          <w:szCs w:val="24"/>
        </w:rPr>
        <w:t>regiões</w:t>
      </w:r>
      <w:proofErr w:type="gramEnd"/>
      <w:r w:rsidRPr="008008D3">
        <w:rPr>
          <w:rFonts w:ascii="Calibri" w:eastAsia="Calibri" w:hAnsi="Calibri" w:cs="Calibri"/>
          <w:color w:val="002060"/>
          <w:sz w:val="24"/>
          <w:szCs w:val="24"/>
        </w:rPr>
        <w:t xml:space="preserve"> periféricas;</w:t>
      </w:r>
    </w:p>
    <w:p w14:paraId="50B84BC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II - </w:t>
      </w:r>
      <w:proofErr w:type="gramStart"/>
      <w:r w:rsidRPr="008008D3">
        <w:rPr>
          <w:rFonts w:ascii="Calibri" w:eastAsia="Calibri" w:hAnsi="Calibri" w:cs="Calibri"/>
          <w:color w:val="002060"/>
          <w:sz w:val="24"/>
          <w:szCs w:val="24"/>
        </w:rPr>
        <w:t>regiões</w:t>
      </w:r>
      <w:proofErr w:type="gramEnd"/>
      <w:r w:rsidRPr="008008D3">
        <w:rPr>
          <w:rFonts w:ascii="Calibri" w:eastAsia="Calibri" w:hAnsi="Calibri" w:cs="Calibri"/>
          <w:color w:val="002060"/>
          <w:sz w:val="24"/>
          <w:szCs w:val="24"/>
        </w:rPr>
        <w:t xml:space="preserve"> com menor Índice de Desenvolvimento Humano - IDH;</w:t>
      </w:r>
    </w:p>
    <w:p w14:paraId="0FB8BD15"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493FFE1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regiões onde são localizados conjuntos e empreendimentos habitacionais, e programas habitacionais de interesse social, promovidos por programas do governo federal ou local;</w:t>
      </w:r>
    </w:p>
    <w:p w14:paraId="3703884E"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IV - </w:t>
      </w:r>
      <w:proofErr w:type="gramStart"/>
      <w:r w:rsidRPr="008008D3">
        <w:rPr>
          <w:rFonts w:ascii="Calibri" w:eastAsia="Calibri" w:hAnsi="Calibri" w:cs="Calibri"/>
          <w:color w:val="002060"/>
          <w:sz w:val="24"/>
          <w:szCs w:val="24"/>
        </w:rPr>
        <w:t>assentamentos e acampamentos</w:t>
      </w:r>
      <w:proofErr w:type="gramEnd"/>
      <w:r w:rsidRPr="008008D3">
        <w:rPr>
          <w:rFonts w:ascii="Calibri" w:eastAsia="Calibri" w:hAnsi="Calibri" w:cs="Calibri"/>
          <w:color w:val="002060"/>
          <w:sz w:val="24"/>
          <w:szCs w:val="24"/>
        </w:rPr>
        <w:t>;</w:t>
      </w:r>
    </w:p>
    <w:p w14:paraId="1D90EAE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V - </w:t>
      </w:r>
      <w:proofErr w:type="gramStart"/>
      <w:r w:rsidRPr="008008D3">
        <w:rPr>
          <w:rFonts w:ascii="Calibri" w:eastAsia="Calibri" w:hAnsi="Calibri" w:cs="Calibri"/>
          <w:color w:val="002060"/>
          <w:sz w:val="24"/>
          <w:szCs w:val="24"/>
        </w:rPr>
        <w:t>regiões</w:t>
      </w:r>
      <w:proofErr w:type="gramEnd"/>
      <w:r w:rsidRPr="008008D3">
        <w:rPr>
          <w:rFonts w:ascii="Calibri" w:eastAsia="Calibri" w:hAnsi="Calibri" w:cs="Calibri"/>
          <w:color w:val="002060"/>
          <w:sz w:val="24"/>
          <w:szCs w:val="24"/>
        </w:rPr>
        <w:t xml:space="preserve"> com menor presença de espaços e equipamentos culturais públicos;</w:t>
      </w:r>
    </w:p>
    <w:p w14:paraId="5B90A690"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VI - </w:t>
      </w:r>
      <w:proofErr w:type="gramStart"/>
      <w:r w:rsidRPr="008008D3">
        <w:rPr>
          <w:rFonts w:ascii="Calibri" w:eastAsia="Calibri" w:hAnsi="Calibri" w:cs="Calibri"/>
          <w:color w:val="002060"/>
          <w:sz w:val="24"/>
          <w:szCs w:val="24"/>
        </w:rPr>
        <w:t>regiões</w:t>
      </w:r>
      <w:proofErr w:type="gramEnd"/>
      <w:r w:rsidRPr="008008D3">
        <w:rPr>
          <w:rFonts w:ascii="Calibri" w:eastAsia="Calibri" w:hAnsi="Calibri" w:cs="Calibri"/>
          <w:color w:val="002060"/>
          <w:sz w:val="24"/>
          <w:szCs w:val="24"/>
        </w:rPr>
        <w:t xml:space="preserve"> com menor histórico de acesso aos recursos da política pública de cultura;</w:t>
      </w:r>
    </w:p>
    <w:p w14:paraId="5752CBCF"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VII - zonas especiais de interesse social; VIII - áreas atingidas por desastres naturais;</w:t>
      </w:r>
    </w:p>
    <w:p w14:paraId="1E61BAD0"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IX - </w:t>
      </w:r>
      <w:proofErr w:type="gramStart"/>
      <w:r w:rsidRPr="008008D3">
        <w:rPr>
          <w:rFonts w:ascii="Calibri" w:eastAsia="Calibri" w:hAnsi="Calibri" w:cs="Calibri"/>
          <w:color w:val="002060"/>
          <w:sz w:val="24"/>
          <w:szCs w:val="24"/>
        </w:rPr>
        <w:t>territórios</w:t>
      </w:r>
      <w:proofErr w:type="gramEnd"/>
      <w:r w:rsidRPr="008008D3">
        <w:rPr>
          <w:rFonts w:ascii="Calibri" w:eastAsia="Calibri" w:hAnsi="Calibri" w:cs="Calibri"/>
          <w:color w:val="002060"/>
          <w:sz w:val="24"/>
          <w:szCs w:val="24"/>
        </w:rPr>
        <w:t xml:space="preserve"> quilombolas;</w:t>
      </w:r>
    </w:p>
    <w:p w14:paraId="264885A5"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X - </w:t>
      </w:r>
      <w:proofErr w:type="gramStart"/>
      <w:r w:rsidRPr="008008D3">
        <w:rPr>
          <w:rFonts w:ascii="Calibri" w:eastAsia="Calibri" w:hAnsi="Calibri" w:cs="Calibri"/>
          <w:color w:val="002060"/>
          <w:sz w:val="24"/>
          <w:szCs w:val="24"/>
        </w:rPr>
        <w:t>territórios</w:t>
      </w:r>
      <w:proofErr w:type="gramEnd"/>
      <w:r w:rsidRPr="008008D3">
        <w:rPr>
          <w:rFonts w:ascii="Calibri" w:eastAsia="Calibri" w:hAnsi="Calibri" w:cs="Calibri"/>
          <w:color w:val="002060"/>
          <w:sz w:val="24"/>
          <w:szCs w:val="24"/>
        </w:rPr>
        <w:t xml:space="preserve"> indígenas;</w:t>
      </w:r>
    </w:p>
    <w:p w14:paraId="473BDABD"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 - territórios rurais;</w:t>
      </w:r>
    </w:p>
    <w:p w14:paraId="5E436FA8"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XII - espaços comunitários de convivência, acolhimento e alimentação; e</w:t>
      </w:r>
    </w:p>
    <w:p w14:paraId="5C1F688E"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XIII - demais regiões que sejam habitadas por pessoas em situação de vulnerabilidade econômica ou social.</w:t>
      </w:r>
    </w:p>
    <w:p w14:paraId="3BFAF856"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1º As ações afirmativas de que tratam o caput podem ser empregadas quando os projetos são realizados nos territórios e regiões ou quando são propostos por agentes culturais nelas residentes.</w:t>
      </w:r>
    </w:p>
    <w:p w14:paraId="2615D28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Para fins de aferição do percentual estabelecido no art. 6º, II, da PNAB, serão consideradas apenas as ações e projetos realizados nos territórios e regiões de que tratam este artigo.”</w:t>
      </w:r>
    </w:p>
    <w:p w14:paraId="2E3A9CB3"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23599E5F"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442D31E8"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7DD3F473"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46729B6D"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5DDCA0AC"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tbl>
      <w:tblPr>
        <w:tblStyle w:val="a"/>
        <w:tblW w:w="139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4095"/>
        <w:gridCol w:w="4245"/>
        <w:gridCol w:w="5070"/>
      </w:tblGrid>
      <w:tr w:rsidR="008008D3" w:rsidRPr="008008D3" w14:paraId="383D620C" w14:textId="77777777">
        <w:trPr>
          <w:cantSplit/>
        </w:trPr>
        <w:tc>
          <w:tcPr>
            <w:tcW w:w="555" w:type="dxa"/>
            <w:shd w:val="clear" w:color="auto" w:fill="auto"/>
            <w:tcMar>
              <w:top w:w="100" w:type="dxa"/>
              <w:left w:w="100" w:type="dxa"/>
              <w:bottom w:w="100" w:type="dxa"/>
              <w:right w:w="100" w:type="dxa"/>
            </w:tcMar>
            <w:vAlign w:val="center"/>
          </w:tcPr>
          <w:p w14:paraId="199A4B15" w14:textId="77777777" w:rsidR="00B63E93" w:rsidRPr="008008D3" w:rsidRDefault="00B63E93"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p>
        </w:tc>
        <w:tc>
          <w:tcPr>
            <w:tcW w:w="4095" w:type="dxa"/>
            <w:shd w:val="clear" w:color="auto" w:fill="auto"/>
            <w:tcMar>
              <w:top w:w="100" w:type="dxa"/>
              <w:left w:w="100" w:type="dxa"/>
              <w:bottom w:w="100" w:type="dxa"/>
              <w:right w:w="100" w:type="dxa"/>
            </w:tcMar>
            <w:vAlign w:val="center"/>
          </w:tcPr>
          <w:p w14:paraId="4F3F261E" w14:textId="77777777" w:rsidR="00B63E93" w:rsidRPr="008008D3" w:rsidRDefault="00B76FCC"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NOME  E DESCRIÇÃO DA CATEGORIA</w:t>
            </w:r>
          </w:p>
        </w:tc>
        <w:tc>
          <w:tcPr>
            <w:tcW w:w="4245" w:type="dxa"/>
            <w:shd w:val="clear" w:color="auto" w:fill="auto"/>
            <w:tcMar>
              <w:top w:w="100" w:type="dxa"/>
              <w:left w:w="100" w:type="dxa"/>
              <w:bottom w:w="100" w:type="dxa"/>
              <w:right w:w="100" w:type="dxa"/>
            </w:tcMar>
            <w:vAlign w:val="center"/>
          </w:tcPr>
          <w:p w14:paraId="44A61D4C" w14:textId="77777777" w:rsidR="00B63E93" w:rsidRPr="008008D3" w:rsidRDefault="00B76FCC"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NÚMERO DE VAGAS PARA CATEGORIA</w:t>
            </w:r>
          </w:p>
        </w:tc>
        <w:tc>
          <w:tcPr>
            <w:tcW w:w="5070" w:type="dxa"/>
            <w:shd w:val="clear" w:color="auto" w:fill="auto"/>
            <w:tcMar>
              <w:top w:w="100" w:type="dxa"/>
              <w:left w:w="100" w:type="dxa"/>
              <w:bottom w:w="100" w:type="dxa"/>
              <w:right w:w="100" w:type="dxa"/>
            </w:tcMar>
            <w:vAlign w:val="center"/>
          </w:tcPr>
          <w:p w14:paraId="33BEC2A1" w14:textId="77777777" w:rsidR="00B63E93" w:rsidRPr="008008D3" w:rsidRDefault="00B76FCC" w:rsidP="00C62BE4">
            <w:pPr>
              <w:widowControl w:val="0"/>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VALOR TOTAL DISPONÍVEL POR PROJETO SELECIONADO (R$)</w:t>
            </w:r>
          </w:p>
        </w:tc>
      </w:tr>
      <w:tr w:rsidR="008008D3" w:rsidRPr="008008D3" w14:paraId="734E9199" w14:textId="77777777">
        <w:tc>
          <w:tcPr>
            <w:tcW w:w="555" w:type="dxa"/>
            <w:shd w:val="clear" w:color="auto" w:fill="auto"/>
            <w:tcMar>
              <w:top w:w="100" w:type="dxa"/>
              <w:left w:w="100" w:type="dxa"/>
              <w:bottom w:w="100" w:type="dxa"/>
              <w:right w:w="100" w:type="dxa"/>
            </w:tcMar>
            <w:vAlign w:val="center"/>
          </w:tcPr>
          <w:p w14:paraId="25E72BBF" w14:textId="77777777" w:rsidR="00B63E93" w:rsidRPr="008008D3" w:rsidRDefault="00B76FCC" w:rsidP="00E667BC">
            <w:pPr>
              <w:rPr>
                <w:b/>
                <w:bCs/>
                <w:color w:val="002060"/>
              </w:rPr>
            </w:pPr>
            <w:r w:rsidRPr="008008D3">
              <w:rPr>
                <w:b/>
                <w:bCs/>
                <w:color w:val="002060"/>
              </w:rPr>
              <w:t>01</w:t>
            </w:r>
          </w:p>
        </w:tc>
        <w:tc>
          <w:tcPr>
            <w:tcW w:w="4095" w:type="dxa"/>
            <w:shd w:val="clear" w:color="auto" w:fill="auto"/>
            <w:tcMar>
              <w:top w:w="100" w:type="dxa"/>
              <w:left w:w="100" w:type="dxa"/>
              <w:bottom w:w="100" w:type="dxa"/>
              <w:right w:w="100" w:type="dxa"/>
            </w:tcMar>
            <w:vAlign w:val="center"/>
          </w:tcPr>
          <w:p w14:paraId="3085F982" w14:textId="0496657C" w:rsidR="00E667BC" w:rsidRPr="008008D3" w:rsidRDefault="003244BB" w:rsidP="00E667BC">
            <w:pPr>
              <w:rPr>
                <w:b/>
                <w:bCs/>
                <w:color w:val="002060"/>
              </w:rPr>
            </w:pPr>
            <w:r w:rsidRPr="008008D3">
              <w:rPr>
                <w:b/>
                <w:bCs/>
                <w:color w:val="002060"/>
              </w:rPr>
              <w:t xml:space="preserve">Culturas Populares e Tradicionais </w:t>
            </w:r>
          </w:p>
        </w:tc>
        <w:tc>
          <w:tcPr>
            <w:tcW w:w="4245" w:type="dxa"/>
            <w:shd w:val="clear" w:color="auto" w:fill="auto"/>
            <w:tcMar>
              <w:top w:w="100" w:type="dxa"/>
              <w:left w:w="100" w:type="dxa"/>
              <w:bottom w:w="100" w:type="dxa"/>
              <w:right w:w="100" w:type="dxa"/>
            </w:tcMar>
            <w:vAlign w:val="center"/>
          </w:tcPr>
          <w:p w14:paraId="1EC1AFC5" w14:textId="38EC9903" w:rsidR="00B63E93" w:rsidRPr="008008D3" w:rsidRDefault="004E5997" w:rsidP="00E667BC">
            <w:pPr>
              <w:jc w:val="center"/>
              <w:rPr>
                <w:b/>
                <w:bCs/>
                <w:color w:val="002060"/>
              </w:rPr>
            </w:pPr>
            <w:r w:rsidRPr="008008D3">
              <w:rPr>
                <w:b/>
                <w:bCs/>
                <w:color w:val="002060"/>
              </w:rPr>
              <w:t>0</w:t>
            </w:r>
            <w:r w:rsidR="00D10541">
              <w:rPr>
                <w:b/>
                <w:bCs/>
                <w:color w:val="002060"/>
              </w:rPr>
              <w:t>1</w:t>
            </w:r>
          </w:p>
        </w:tc>
        <w:tc>
          <w:tcPr>
            <w:tcW w:w="5070" w:type="dxa"/>
            <w:shd w:val="clear" w:color="auto" w:fill="auto"/>
            <w:tcMar>
              <w:top w:w="100" w:type="dxa"/>
              <w:left w:w="100" w:type="dxa"/>
              <w:bottom w:w="100" w:type="dxa"/>
              <w:right w:w="100" w:type="dxa"/>
            </w:tcMar>
            <w:vAlign w:val="center"/>
          </w:tcPr>
          <w:p w14:paraId="0780CD3F" w14:textId="304947F9" w:rsidR="00B63E93" w:rsidRPr="008008D3" w:rsidRDefault="004E5997" w:rsidP="00E667BC">
            <w:pPr>
              <w:rPr>
                <w:b/>
                <w:bCs/>
                <w:color w:val="002060"/>
              </w:rPr>
            </w:pPr>
            <w:r w:rsidRPr="008008D3">
              <w:rPr>
                <w:b/>
                <w:bCs/>
                <w:color w:val="002060"/>
              </w:rPr>
              <w:t xml:space="preserve">R$ </w:t>
            </w:r>
            <w:r w:rsidR="00D10541">
              <w:rPr>
                <w:b/>
                <w:bCs/>
                <w:color w:val="002060"/>
              </w:rPr>
              <w:t>33</w:t>
            </w:r>
            <w:r w:rsidRPr="008008D3">
              <w:rPr>
                <w:b/>
                <w:bCs/>
                <w:color w:val="002060"/>
              </w:rPr>
              <w:t>.</w:t>
            </w:r>
            <w:r w:rsidR="00D10541">
              <w:rPr>
                <w:b/>
                <w:bCs/>
                <w:color w:val="002060"/>
              </w:rPr>
              <w:t>0</w:t>
            </w:r>
            <w:r w:rsidRPr="008008D3">
              <w:rPr>
                <w:b/>
                <w:bCs/>
                <w:color w:val="002060"/>
              </w:rPr>
              <w:t xml:space="preserve">00,00 </w:t>
            </w:r>
          </w:p>
        </w:tc>
      </w:tr>
      <w:tr w:rsidR="008008D3" w:rsidRPr="008008D3" w14:paraId="077F4380" w14:textId="77777777">
        <w:tc>
          <w:tcPr>
            <w:tcW w:w="555" w:type="dxa"/>
            <w:shd w:val="clear" w:color="auto" w:fill="auto"/>
            <w:tcMar>
              <w:top w:w="100" w:type="dxa"/>
              <w:left w:w="100" w:type="dxa"/>
              <w:bottom w:w="100" w:type="dxa"/>
              <w:right w:w="100" w:type="dxa"/>
            </w:tcMar>
            <w:vAlign w:val="center"/>
          </w:tcPr>
          <w:p w14:paraId="28347EC3" w14:textId="77777777" w:rsidR="00B63E93" w:rsidRPr="008008D3" w:rsidRDefault="00B76FCC" w:rsidP="00C62BE4">
            <w:pPr>
              <w:widowControl w:val="0"/>
              <w:pBdr>
                <w:top w:val="nil"/>
                <w:left w:val="nil"/>
                <w:bottom w:val="nil"/>
                <w:right w:val="nil"/>
                <w:between w:val="nil"/>
              </w:pBdr>
              <w:spacing w:line="360" w:lineRule="auto"/>
              <w:rPr>
                <w:rFonts w:ascii="Calibri" w:eastAsia="Calibri" w:hAnsi="Calibri" w:cs="Calibri"/>
                <w:color w:val="002060"/>
                <w:sz w:val="24"/>
                <w:szCs w:val="24"/>
              </w:rPr>
            </w:pPr>
            <w:r w:rsidRPr="008008D3">
              <w:rPr>
                <w:rFonts w:ascii="Calibri" w:eastAsia="Calibri" w:hAnsi="Calibri" w:cs="Calibri"/>
                <w:color w:val="002060"/>
                <w:sz w:val="24"/>
                <w:szCs w:val="24"/>
              </w:rPr>
              <w:t>02</w:t>
            </w:r>
          </w:p>
        </w:tc>
        <w:tc>
          <w:tcPr>
            <w:tcW w:w="4095" w:type="dxa"/>
            <w:shd w:val="clear" w:color="auto" w:fill="auto"/>
            <w:tcMar>
              <w:top w:w="100" w:type="dxa"/>
              <w:left w:w="100" w:type="dxa"/>
              <w:bottom w:w="100" w:type="dxa"/>
              <w:right w:w="100" w:type="dxa"/>
            </w:tcMar>
            <w:vAlign w:val="center"/>
          </w:tcPr>
          <w:p w14:paraId="00EFD323" w14:textId="15356DCE" w:rsidR="00B63E93" w:rsidRPr="008008D3" w:rsidRDefault="00727C78" w:rsidP="00C62BE4">
            <w:pPr>
              <w:widowControl w:val="0"/>
              <w:pBdr>
                <w:top w:val="nil"/>
                <w:left w:val="nil"/>
                <w:bottom w:val="nil"/>
                <w:right w:val="nil"/>
                <w:between w:val="nil"/>
              </w:pBdr>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Ampla concorrência</w:t>
            </w:r>
          </w:p>
        </w:tc>
        <w:tc>
          <w:tcPr>
            <w:tcW w:w="4245" w:type="dxa"/>
            <w:shd w:val="clear" w:color="auto" w:fill="auto"/>
            <w:tcMar>
              <w:top w:w="100" w:type="dxa"/>
              <w:left w:w="100" w:type="dxa"/>
              <w:bottom w:w="100" w:type="dxa"/>
              <w:right w:w="100" w:type="dxa"/>
            </w:tcMar>
            <w:vAlign w:val="center"/>
          </w:tcPr>
          <w:p w14:paraId="0B83A675" w14:textId="25101631" w:rsidR="00B63E93" w:rsidRPr="008008D3" w:rsidRDefault="00727C78" w:rsidP="00E667BC">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0</w:t>
            </w:r>
            <w:r w:rsidR="00D10541">
              <w:rPr>
                <w:rFonts w:ascii="Calibri" w:eastAsia="Calibri" w:hAnsi="Calibri" w:cs="Calibri"/>
                <w:b/>
                <w:color w:val="002060"/>
                <w:sz w:val="24"/>
                <w:szCs w:val="24"/>
              </w:rPr>
              <w:t>3</w:t>
            </w:r>
          </w:p>
        </w:tc>
        <w:tc>
          <w:tcPr>
            <w:tcW w:w="5070" w:type="dxa"/>
            <w:shd w:val="clear" w:color="auto" w:fill="auto"/>
            <w:tcMar>
              <w:top w:w="100" w:type="dxa"/>
              <w:left w:w="100" w:type="dxa"/>
              <w:bottom w:w="100" w:type="dxa"/>
              <w:right w:w="100" w:type="dxa"/>
            </w:tcMar>
            <w:vAlign w:val="center"/>
          </w:tcPr>
          <w:p w14:paraId="54958795" w14:textId="144BC30D" w:rsidR="00B63E93" w:rsidRPr="008008D3" w:rsidRDefault="00727C78" w:rsidP="00C62BE4">
            <w:pPr>
              <w:widowControl w:val="0"/>
              <w:pBdr>
                <w:top w:val="nil"/>
                <w:left w:val="nil"/>
                <w:bottom w:val="nil"/>
                <w:right w:val="nil"/>
                <w:between w:val="nil"/>
              </w:pBdr>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 xml:space="preserve">R$ </w:t>
            </w:r>
            <w:r w:rsidR="00D10541">
              <w:rPr>
                <w:rFonts w:ascii="Calibri" w:eastAsia="Calibri" w:hAnsi="Calibri" w:cs="Calibri"/>
                <w:b/>
                <w:color w:val="002060"/>
                <w:sz w:val="24"/>
                <w:szCs w:val="24"/>
              </w:rPr>
              <w:t>33</w:t>
            </w:r>
            <w:r w:rsidRPr="008008D3">
              <w:rPr>
                <w:rFonts w:ascii="Calibri" w:eastAsia="Calibri" w:hAnsi="Calibri" w:cs="Calibri"/>
                <w:b/>
                <w:color w:val="002060"/>
                <w:sz w:val="24"/>
                <w:szCs w:val="24"/>
              </w:rPr>
              <w:t>.</w:t>
            </w:r>
            <w:r w:rsidR="00D10541">
              <w:rPr>
                <w:rFonts w:ascii="Calibri" w:eastAsia="Calibri" w:hAnsi="Calibri" w:cs="Calibri"/>
                <w:b/>
                <w:color w:val="002060"/>
                <w:sz w:val="24"/>
                <w:szCs w:val="24"/>
              </w:rPr>
              <w:t>0</w:t>
            </w:r>
            <w:r w:rsidRPr="008008D3">
              <w:rPr>
                <w:rFonts w:ascii="Calibri" w:eastAsia="Calibri" w:hAnsi="Calibri" w:cs="Calibri"/>
                <w:b/>
                <w:color w:val="002060"/>
                <w:sz w:val="24"/>
                <w:szCs w:val="24"/>
              </w:rPr>
              <w:t xml:space="preserve">00,00 </w:t>
            </w:r>
          </w:p>
        </w:tc>
      </w:tr>
      <w:tr w:rsidR="00C62BE4" w:rsidRPr="008008D3" w14:paraId="25591F45" w14:textId="77777777">
        <w:tc>
          <w:tcPr>
            <w:tcW w:w="555" w:type="dxa"/>
            <w:shd w:val="clear" w:color="auto" w:fill="auto"/>
            <w:tcMar>
              <w:top w:w="100" w:type="dxa"/>
              <w:left w:w="100" w:type="dxa"/>
              <w:bottom w:w="100" w:type="dxa"/>
              <w:right w:w="100" w:type="dxa"/>
            </w:tcMar>
            <w:vAlign w:val="center"/>
          </w:tcPr>
          <w:p w14:paraId="384D318F" w14:textId="77777777" w:rsidR="00B63E93" w:rsidRPr="008008D3" w:rsidRDefault="00B76FCC" w:rsidP="00C62BE4">
            <w:pPr>
              <w:widowControl w:val="0"/>
              <w:pBdr>
                <w:top w:val="nil"/>
                <w:left w:val="nil"/>
                <w:bottom w:val="nil"/>
                <w:right w:val="nil"/>
                <w:between w:val="nil"/>
              </w:pBdr>
              <w:spacing w:line="360" w:lineRule="auto"/>
              <w:rPr>
                <w:rFonts w:ascii="Calibri" w:eastAsia="Calibri" w:hAnsi="Calibri" w:cs="Calibri"/>
                <w:color w:val="002060"/>
                <w:sz w:val="24"/>
                <w:szCs w:val="24"/>
              </w:rPr>
            </w:pPr>
            <w:r w:rsidRPr="008008D3">
              <w:rPr>
                <w:rFonts w:ascii="Calibri" w:eastAsia="Calibri" w:hAnsi="Calibri" w:cs="Calibri"/>
                <w:color w:val="002060"/>
                <w:sz w:val="24"/>
                <w:szCs w:val="24"/>
              </w:rPr>
              <w:t>03</w:t>
            </w:r>
          </w:p>
        </w:tc>
        <w:tc>
          <w:tcPr>
            <w:tcW w:w="4095" w:type="dxa"/>
            <w:shd w:val="clear" w:color="auto" w:fill="auto"/>
            <w:tcMar>
              <w:top w:w="100" w:type="dxa"/>
              <w:left w:w="100" w:type="dxa"/>
              <w:bottom w:w="100" w:type="dxa"/>
              <w:right w:w="100" w:type="dxa"/>
            </w:tcMar>
            <w:vAlign w:val="center"/>
          </w:tcPr>
          <w:p w14:paraId="04730D4D" w14:textId="1914B96B" w:rsidR="00B63E93" w:rsidRPr="008008D3" w:rsidRDefault="00FD4A84" w:rsidP="00C62BE4">
            <w:pPr>
              <w:widowControl w:val="0"/>
              <w:pBdr>
                <w:top w:val="nil"/>
                <w:left w:val="nil"/>
                <w:bottom w:val="nil"/>
                <w:right w:val="nil"/>
                <w:between w:val="nil"/>
              </w:pBdr>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 xml:space="preserve">Circulação na periferia </w:t>
            </w:r>
          </w:p>
        </w:tc>
        <w:tc>
          <w:tcPr>
            <w:tcW w:w="4245" w:type="dxa"/>
            <w:shd w:val="clear" w:color="auto" w:fill="auto"/>
            <w:tcMar>
              <w:top w:w="100" w:type="dxa"/>
              <w:left w:w="100" w:type="dxa"/>
              <w:bottom w:w="100" w:type="dxa"/>
              <w:right w:w="100" w:type="dxa"/>
            </w:tcMar>
            <w:vAlign w:val="center"/>
          </w:tcPr>
          <w:p w14:paraId="4CD1E7FD" w14:textId="6D2EA2D4" w:rsidR="00B63E93" w:rsidRPr="008008D3" w:rsidRDefault="000F4061" w:rsidP="00E667BC">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0</w:t>
            </w:r>
            <w:r w:rsidR="00D10541">
              <w:rPr>
                <w:rFonts w:ascii="Calibri" w:eastAsia="Calibri" w:hAnsi="Calibri" w:cs="Calibri"/>
                <w:b/>
                <w:color w:val="002060"/>
                <w:sz w:val="24"/>
                <w:szCs w:val="24"/>
              </w:rPr>
              <w:t>1</w:t>
            </w:r>
          </w:p>
        </w:tc>
        <w:tc>
          <w:tcPr>
            <w:tcW w:w="5070" w:type="dxa"/>
            <w:shd w:val="clear" w:color="auto" w:fill="auto"/>
            <w:tcMar>
              <w:top w:w="100" w:type="dxa"/>
              <w:left w:w="100" w:type="dxa"/>
              <w:bottom w:w="100" w:type="dxa"/>
              <w:right w:w="100" w:type="dxa"/>
            </w:tcMar>
            <w:vAlign w:val="center"/>
          </w:tcPr>
          <w:p w14:paraId="2BBDA469" w14:textId="33DD9C2A" w:rsidR="00B63E93" w:rsidRPr="008008D3" w:rsidRDefault="000F4061" w:rsidP="00C62BE4">
            <w:pPr>
              <w:widowControl w:val="0"/>
              <w:pBdr>
                <w:top w:val="nil"/>
                <w:left w:val="nil"/>
                <w:bottom w:val="nil"/>
                <w:right w:val="nil"/>
                <w:between w:val="nil"/>
              </w:pBdr>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 xml:space="preserve">R$ </w:t>
            </w:r>
            <w:r w:rsidR="00D10541">
              <w:rPr>
                <w:rFonts w:ascii="Calibri" w:eastAsia="Calibri" w:hAnsi="Calibri" w:cs="Calibri"/>
                <w:b/>
                <w:color w:val="002060"/>
                <w:sz w:val="24"/>
                <w:szCs w:val="24"/>
              </w:rPr>
              <w:t>33</w:t>
            </w:r>
            <w:r w:rsidRPr="008008D3">
              <w:rPr>
                <w:rFonts w:ascii="Calibri" w:eastAsia="Calibri" w:hAnsi="Calibri" w:cs="Calibri"/>
                <w:b/>
                <w:color w:val="002060"/>
                <w:sz w:val="24"/>
                <w:szCs w:val="24"/>
              </w:rPr>
              <w:t>.</w:t>
            </w:r>
            <w:r w:rsidR="00D10541">
              <w:rPr>
                <w:rFonts w:ascii="Calibri" w:eastAsia="Calibri" w:hAnsi="Calibri" w:cs="Calibri"/>
                <w:b/>
                <w:color w:val="002060"/>
                <w:sz w:val="24"/>
                <w:szCs w:val="24"/>
              </w:rPr>
              <w:t>0</w:t>
            </w:r>
            <w:r w:rsidRPr="008008D3">
              <w:rPr>
                <w:rFonts w:ascii="Calibri" w:eastAsia="Calibri" w:hAnsi="Calibri" w:cs="Calibri"/>
                <w:b/>
                <w:color w:val="002060"/>
                <w:sz w:val="24"/>
                <w:szCs w:val="24"/>
              </w:rPr>
              <w:t xml:space="preserve">00,00 </w:t>
            </w:r>
          </w:p>
        </w:tc>
      </w:tr>
    </w:tbl>
    <w:p w14:paraId="67116CB6" w14:textId="77777777" w:rsidR="00B63E93" w:rsidRPr="008008D3" w:rsidRDefault="00B63E93" w:rsidP="00C62BE4">
      <w:pPr>
        <w:tabs>
          <w:tab w:val="center" w:pos="0"/>
        </w:tabs>
        <w:spacing w:line="360" w:lineRule="auto"/>
        <w:jc w:val="both"/>
        <w:rPr>
          <w:rFonts w:ascii="Calibri" w:eastAsia="Calibri" w:hAnsi="Calibri" w:cs="Calibri"/>
          <w:b/>
          <w:color w:val="002060"/>
          <w:sz w:val="24"/>
          <w:szCs w:val="24"/>
        </w:rPr>
      </w:pPr>
    </w:p>
    <w:p w14:paraId="2284695F" w14:textId="77777777" w:rsidR="00B63E93" w:rsidRPr="008008D3" w:rsidRDefault="00B76FCC" w:rsidP="00C62BE4">
      <w:pPr>
        <w:tabs>
          <w:tab w:val="center" w:pos="0"/>
        </w:tabs>
        <w:spacing w:line="360" w:lineRule="auto"/>
        <w:jc w:val="both"/>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COTAS</w:t>
      </w:r>
    </w:p>
    <w:p w14:paraId="4CCB208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Orientação: além das cotas obrigatórias, o Ente Federativo poderá definir cotas específicas, no quantitativo que julgar pertinente, desde que mantidos os princípios, diretrizes e objetivos da PNCV e da PNAB. A adoção de quaisquer cotas deverá ser justificada nos relatórios de monitoramento da implementação da PNAB.</w:t>
      </w:r>
    </w:p>
    <w:p w14:paraId="27ABABAB"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7FE583AD"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O Ente Federativo deverá considerar o conjunto de regramentos previstos na referida IN. Em especial, destaca-se:</w:t>
      </w:r>
    </w:p>
    <w:p w14:paraId="22F98BC5"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CAPÍTULO II</w:t>
      </w:r>
    </w:p>
    <w:p w14:paraId="5A73CB3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DAS POLÍTICAS DE COTAS OU RESERVA DE VAGAS</w:t>
      </w:r>
    </w:p>
    <w:p w14:paraId="27482E90"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5º A política de cotas tem como objeto garantir a reserva de um percentual mínimo de vagas a grupos específicos, sendo aplicáveis aos procedimentos públicos de seleção de que trata a Lei nº 14.399, de 2022.</w:t>
      </w:r>
    </w:p>
    <w:p w14:paraId="462E0110"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172F1086"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Art. 6º Ficam garantidas cotas em todos os editais de fomento realizados com recursos da Lei nº 14.399, de 2022, de no mínimo:</w:t>
      </w:r>
    </w:p>
    <w:p w14:paraId="03999FBA"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 - </w:t>
      </w:r>
      <w:proofErr w:type="gramStart"/>
      <w:r w:rsidRPr="008008D3">
        <w:rPr>
          <w:rFonts w:ascii="Calibri" w:eastAsia="Calibri" w:hAnsi="Calibri" w:cs="Calibri"/>
          <w:color w:val="002060"/>
          <w:sz w:val="24"/>
          <w:szCs w:val="24"/>
        </w:rPr>
        <w:t>vinte e cinco</w:t>
      </w:r>
      <w:proofErr w:type="gramEnd"/>
      <w:r w:rsidRPr="008008D3">
        <w:rPr>
          <w:rFonts w:ascii="Calibri" w:eastAsia="Calibri" w:hAnsi="Calibri" w:cs="Calibri"/>
          <w:color w:val="002060"/>
          <w:sz w:val="24"/>
          <w:szCs w:val="24"/>
        </w:rPr>
        <w:t xml:space="preserve"> por cento das vagas para pessoas negras (pretas ou pardas);</w:t>
      </w:r>
    </w:p>
    <w:p w14:paraId="37915B24"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II - </w:t>
      </w:r>
      <w:proofErr w:type="gramStart"/>
      <w:r w:rsidRPr="008008D3">
        <w:rPr>
          <w:rFonts w:ascii="Calibri" w:eastAsia="Calibri" w:hAnsi="Calibri" w:cs="Calibri"/>
          <w:color w:val="002060"/>
          <w:sz w:val="24"/>
          <w:szCs w:val="24"/>
        </w:rPr>
        <w:t>dez</w:t>
      </w:r>
      <w:proofErr w:type="gramEnd"/>
      <w:r w:rsidRPr="008008D3">
        <w:rPr>
          <w:rFonts w:ascii="Calibri" w:eastAsia="Calibri" w:hAnsi="Calibri" w:cs="Calibri"/>
          <w:color w:val="002060"/>
          <w:sz w:val="24"/>
          <w:szCs w:val="24"/>
        </w:rPr>
        <w:t xml:space="preserve"> por cento das vagas para pessoas indígenas; e</w:t>
      </w:r>
    </w:p>
    <w:p w14:paraId="5E62533C"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cinco por cento para pessoas com deficiência.</w:t>
      </w:r>
    </w:p>
    <w:p w14:paraId="7D2018DB"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1º O percentual de que trata este artigo pode ser ampliado considerando legislações locais mais benéficas ao público-alvo da ação afirmativa e o quantitativo de pessoas negras, indígenas, e pessoas com deficiência na região.</w:t>
      </w:r>
    </w:p>
    <w:p w14:paraId="5366979F"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Na hipótese de quantitativo fracionado para o número de vagas reservadas, esse será aumentado para o primeiro número inteiro subsequente, em caso de fração igual ou maior que 0,5 (cinco décimos), ou diminuído para número inteiro imediatamente inferior, em caso de fração menor que 0,5 (cinco décimos).</w:t>
      </w:r>
    </w:p>
    <w:p w14:paraId="21D3979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3º Em caso de editais divididos em categorias, devem ser estabelecidas cotas em todas elas, ressalvados os casos de impossibilidade fática, no qual o percentual mínimo de reserva será aplicado ao total das vagas do edital.</w:t>
      </w:r>
    </w:p>
    <w:p w14:paraId="4D6B33C0"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4º Nos casos excepcionais em que for estabelecido somente uma vaga total por categoria, o ente pode optar por destiná-la à ampla concorrência ou às cotas, garantindo que ao menos vinte e cinco por cento do total das vagas do Edital sejam destinadas a pessoas negras, dez por cento a pessoas indígenas e dez por cento a pessoas com deficiência. (retificação publicada no DOU de 10/01/2024)</w:t>
      </w:r>
    </w:p>
    <w:p w14:paraId="24AD39EC"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5º Nos casos de editais específicos de que trata o art. 14, o estabelecimento de cotas para pessoas negras e indígenas pode ser dispensado, caso o edital seja integralmente direcionado a proponentes de grupos étnico-raciais público-alvo de ações afirmativas.</w:t>
      </w:r>
    </w:p>
    <w:p w14:paraId="2493DF2A"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6º As cotas previstas neste artigo podem ser implementadas juntamente com:</w:t>
      </w:r>
    </w:p>
    <w:p w14:paraId="57E50C3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 - </w:t>
      </w:r>
      <w:proofErr w:type="gramStart"/>
      <w:r w:rsidRPr="008008D3">
        <w:rPr>
          <w:rFonts w:ascii="Calibri" w:eastAsia="Calibri" w:hAnsi="Calibri" w:cs="Calibri"/>
          <w:color w:val="002060"/>
          <w:sz w:val="24"/>
          <w:szCs w:val="24"/>
        </w:rPr>
        <w:t>cotas</w:t>
      </w:r>
      <w:proofErr w:type="gramEnd"/>
      <w:r w:rsidRPr="008008D3">
        <w:rPr>
          <w:rFonts w:ascii="Calibri" w:eastAsia="Calibri" w:hAnsi="Calibri" w:cs="Calibri"/>
          <w:color w:val="002060"/>
          <w:sz w:val="24"/>
          <w:szCs w:val="24"/>
        </w:rPr>
        <w:t xml:space="preserve"> para outros grupos sociais e;</w:t>
      </w:r>
    </w:p>
    <w:p w14:paraId="0912C8DE"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II - </w:t>
      </w:r>
      <w:proofErr w:type="gramStart"/>
      <w:r w:rsidRPr="008008D3">
        <w:rPr>
          <w:rFonts w:ascii="Calibri" w:eastAsia="Calibri" w:hAnsi="Calibri" w:cs="Calibri"/>
          <w:color w:val="002060"/>
          <w:sz w:val="24"/>
          <w:szCs w:val="24"/>
        </w:rPr>
        <w:t>outras</w:t>
      </w:r>
      <w:proofErr w:type="gramEnd"/>
      <w:r w:rsidRPr="008008D3">
        <w:rPr>
          <w:rFonts w:ascii="Calibri" w:eastAsia="Calibri" w:hAnsi="Calibri" w:cs="Calibri"/>
          <w:color w:val="002060"/>
          <w:sz w:val="24"/>
          <w:szCs w:val="24"/>
        </w:rPr>
        <w:t xml:space="preserve"> ações afirmativas, tais como editais específicos e critérios diferenciados de pontuação.</w:t>
      </w:r>
    </w:p>
    <w:p w14:paraId="04D3EE1A"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30B09E2D"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Art. 7º Os agentes culturais que optarem por concorrer às cotas concorrerão concomitantemente às vagas destinadas à ampla concorrência, de acordo com a sua classificação no processo.</w:t>
      </w:r>
    </w:p>
    <w:p w14:paraId="02B100AA"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1º As pessoas que optarem pelas cotas e atingirem nota suficiente para se classificar no número de vagas oferecidas para ampla concorrência não ocuparão as vagas destinadas para o preenchimento das cotas.</w:t>
      </w:r>
    </w:p>
    <w:p w14:paraId="5B7324D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Em caso de desistência de optantes aprovados nas cotas, a vaga não preenchida deverá ser ocupada por pessoa que concorreu às cotas de acordo com a ordem de classificação.</w:t>
      </w:r>
    </w:p>
    <w:p w14:paraId="6B5936F4"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3º No caso de não existirem propostas aptas em número suficiente para o cumprimento de uma das categorias de cotas previstas na seleção, o número de vagas restantes deverá ser destinado inicialmente para a outra categoria de cotas.</w:t>
      </w:r>
    </w:p>
    <w:p w14:paraId="589E203B"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4º Caso não haja outra categoria de cotas de que trata o §3º, as vagas não preenchidas deverão ser direcionadas para a ampla concorrência, sendo os demais candidatos selecionados de acordo com a ordem de classificação.</w:t>
      </w:r>
    </w:p>
    <w:p w14:paraId="45475F5C"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8º Para concorrer às cotas, os agentes culturais deverão autodeclarar-se no ato de inscrição, conforme modelos constantes nos Anexo I e II, ou outro modelo disponibilizado pelo ente federativo.</w:t>
      </w:r>
    </w:p>
    <w:p w14:paraId="5E2223C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Parágrafo único. A autodeclaração poderá ser apresentada por escrito, em vídeo, áudio, em Libras, ou em outros formatos acessíveis.</w:t>
      </w:r>
    </w:p>
    <w:p w14:paraId="5EC3CE4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9º A autodeclaração do agente cultural goza de presunção de veracidade, podendo os Entes Federativos estabelecer em editais procedimentos complementares, tais como:</w:t>
      </w:r>
    </w:p>
    <w:p w14:paraId="18CD6817"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 - </w:t>
      </w:r>
      <w:proofErr w:type="spellStart"/>
      <w:proofErr w:type="gramStart"/>
      <w:r w:rsidRPr="008008D3">
        <w:rPr>
          <w:rFonts w:ascii="Calibri" w:eastAsia="Calibri" w:hAnsi="Calibri" w:cs="Calibri"/>
          <w:color w:val="002060"/>
          <w:sz w:val="24"/>
          <w:szCs w:val="24"/>
        </w:rPr>
        <w:t>heteroidentificação</w:t>
      </w:r>
      <w:proofErr w:type="spellEnd"/>
      <w:proofErr w:type="gramEnd"/>
      <w:r w:rsidRPr="008008D3">
        <w:rPr>
          <w:rFonts w:ascii="Calibri" w:eastAsia="Calibri" w:hAnsi="Calibri" w:cs="Calibri"/>
          <w:color w:val="002060"/>
          <w:sz w:val="24"/>
          <w:szCs w:val="24"/>
        </w:rPr>
        <w:t>: procedimento complementar à autodeclaração de pertencimento racial, para confirmação, por terceiros, da identificação como pessoa negra (preta ou parda) de acordo com seu fenótipo, isto é, conforme suas características físicas;</w:t>
      </w:r>
    </w:p>
    <w:p w14:paraId="371A657B"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335633ED"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257044B2"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1B1EFC38"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 xml:space="preserve">II - </w:t>
      </w:r>
      <w:proofErr w:type="gramStart"/>
      <w:r w:rsidRPr="008008D3">
        <w:rPr>
          <w:rFonts w:ascii="Calibri" w:eastAsia="Calibri" w:hAnsi="Calibri" w:cs="Calibri"/>
          <w:color w:val="002060"/>
          <w:sz w:val="24"/>
          <w:szCs w:val="24"/>
        </w:rPr>
        <w:t>solicitação</w:t>
      </w:r>
      <w:proofErr w:type="gramEnd"/>
      <w:r w:rsidRPr="008008D3">
        <w:rPr>
          <w:rFonts w:ascii="Calibri" w:eastAsia="Calibri" w:hAnsi="Calibri" w:cs="Calibri"/>
          <w:color w:val="002060"/>
          <w:sz w:val="24"/>
          <w:szCs w:val="24"/>
        </w:rPr>
        <w:t xml:space="preserve"> de carta consubstanciada: documento apresentado em formato escrito, oral ou audiovisual que promove a reflexão sobre o pertencimento étnico-racial, contendo os motivos pelos quais o agente cultural se autodeclara negro (preto ou pardo) ou indígena, conforme modelo constante no Anexo III;</w:t>
      </w:r>
    </w:p>
    <w:p w14:paraId="0EBEBD39"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solicitação de um documento em formato escrito, oral ou audiovisual que demonstre o pertencimento étnico do agente cultural indígena elaborado por liderança ou entidade constituída em forma de associação, fundação ou qualquer configuração de entidade formalizada ou não, desde que gerida por povos indígenas;</w:t>
      </w:r>
    </w:p>
    <w:p w14:paraId="466DF51F"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IV - </w:t>
      </w:r>
      <w:proofErr w:type="gramStart"/>
      <w:r w:rsidRPr="008008D3">
        <w:rPr>
          <w:rFonts w:ascii="Calibri" w:eastAsia="Calibri" w:hAnsi="Calibri" w:cs="Calibri"/>
          <w:color w:val="002060"/>
          <w:sz w:val="24"/>
          <w:szCs w:val="24"/>
        </w:rPr>
        <w:t>procedimento</w:t>
      </w:r>
      <w:proofErr w:type="gramEnd"/>
      <w:r w:rsidRPr="008008D3">
        <w:rPr>
          <w:rFonts w:ascii="Calibri" w:eastAsia="Calibri" w:hAnsi="Calibri" w:cs="Calibri"/>
          <w:color w:val="002060"/>
          <w:sz w:val="24"/>
          <w:szCs w:val="24"/>
        </w:rPr>
        <w:t xml:space="preserve"> de avaliação biopsicossocial realizada nos termos do § 1º do art. 2º da Lei nº 13.146, de 2015, solicitação de documentos como laudo médico, Certificado da Pessoa com Deficiência ou comprovante de recebimento de Benefício de Prestação Continuada à Pessoa com Deficiência; ou</w:t>
      </w:r>
    </w:p>
    <w:p w14:paraId="03616FB2"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V - </w:t>
      </w:r>
      <w:proofErr w:type="gramStart"/>
      <w:r w:rsidRPr="008008D3">
        <w:rPr>
          <w:rFonts w:ascii="Calibri" w:eastAsia="Calibri" w:hAnsi="Calibri" w:cs="Calibri"/>
          <w:color w:val="002060"/>
          <w:sz w:val="24"/>
          <w:szCs w:val="24"/>
        </w:rPr>
        <w:t>outras</w:t>
      </w:r>
      <w:proofErr w:type="gramEnd"/>
      <w:r w:rsidRPr="008008D3">
        <w:rPr>
          <w:rFonts w:ascii="Calibri" w:eastAsia="Calibri" w:hAnsi="Calibri" w:cs="Calibri"/>
          <w:color w:val="002060"/>
          <w:sz w:val="24"/>
          <w:szCs w:val="24"/>
        </w:rPr>
        <w:t xml:space="preserve"> estratégias com vistas a garantir que as cotas sejam destinadas a pessoas negras, indígenas ou com deficiência.</w:t>
      </w:r>
    </w:p>
    <w:p w14:paraId="18DF5F9C" w14:textId="77777777" w:rsidR="009E3F72" w:rsidRPr="008008D3" w:rsidRDefault="009E3F72" w:rsidP="00C62BE4">
      <w:pPr>
        <w:tabs>
          <w:tab w:val="center" w:pos="0"/>
        </w:tabs>
        <w:spacing w:line="360" w:lineRule="auto"/>
        <w:jc w:val="both"/>
        <w:rPr>
          <w:rFonts w:ascii="Calibri" w:eastAsia="Calibri" w:hAnsi="Calibri" w:cs="Calibri"/>
          <w:color w:val="002060"/>
          <w:sz w:val="24"/>
          <w:szCs w:val="24"/>
        </w:rPr>
      </w:pPr>
    </w:p>
    <w:p w14:paraId="4C06B370"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tbl>
      <w:tblPr>
        <w:tblStyle w:val="a0"/>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77"/>
        <w:gridCol w:w="6977"/>
      </w:tblGrid>
      <w:tr w:rsidR="008008D3" w:rsidRPr="008008D3" w14:paraId="72201C1D" w14:textId="77777777">
        <w:tc>
          <w:tcPr>
            <w:tcW w:w="6977" w:type="dxa"/>
            <w:shd w:val="clear" w:color="auto" w:fill="auto"/>
            <w:tcMar>
              <w:top w:w="100" w:type="dxa"/>
              <w:left w:w="100" w:type="dxa"/>
              <w:bottom w:w="100" w:type="dxa"/>
              <w:right w:w="100" w:type="dxa"/>
            </w:tcMar>
            <w:vAlign w:val="center"/>
          </w:tcPr>
          <w:p w14:paraId="381EBD3C" w14:textId="517FC125" w:rsidR="00B63E93" w:rsidRPr="008008D3" w:rsidRDefault="009E3F72" w:rsidP="00C62BE4">
            <w:pPr>
              <w:widowControl w:val="0"/>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 xml:space="preserve">Categoria </w:t>
            </w:r>
          </w:p>
        </w:tc>
        <w:tc>
          <w:tcPr>
            <w:tcW w:w="6977" w:type="dxa"/>
            <w:shd w:val="clear" w:color="auto" w:fill="auto"/>
            <w:tcMar>
              <w:top w:w="100" w:type="dxa"/>
              <w:left w:w="100" w:type="dxa"/>
              <w:bottom w:w="100" w:type="dxa"/>
              <w:right w:w="100" w:type="dxa"/>
            </w:tcMar>
            <w:vAlign w:val="center"/>
          </w:tcPr>
          <w:p w14:paraId="0E4E6FB5" w14:textId="77777777" w:rsidR="00B63E93" w:rsidRPr="008008D3" w:rsidRDefault="00B76FCC" w:rsidP="00C62BE4">
            <w:pPr>
              <w:widowControl w:val="0"/>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NÚMERO DE VAGAS MÍNIMAS</w:t>
            </w:r>
          </w:p>
        </w:tc>
      </w:tr>
      <w:tr w:rsidR="008008D3" w:rsidRPr="008008D3" w14:paraId="3811A740" w14:textId="77777777">
        <w:tc>
          <w:tcPr>
            <w:tcW w:w="6977" w:type="dxa"/>
            <w:shd w:val="clear" w:color="auto" w:fill="auto"/>
            <w:tcMar>
              <w:top w:w="100" w:type="dxa"/>
              <w:left w:w="100" w:type="dxa"/>
              <w:bottom w:w="100" w:type="dxa"/>
              <w:right w:w="100" w:type="dxa"/>
            </w:tcMar>
            <w:vAlign w:val="center"/>
          </w:tcPr>
          <w:p w14:paraId="54E36890" w14:textId="77777777" w:rsidR="00B63E93" w:rsidRPr="008008D3" w:rsidRDefault="00B76FCC" w:rsidP="00C62BE4">
            <w:pPr>
              <w:widowControl w:val="0"/>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pessoas negras (pretas ou pardas)</w:t>
            </w:r>
          </w:p>
        </w:tc>
        <w:tc>
          <w:tcPr>
            <w:tcW w:w="6977" w:type="dxa"/>
            <w:shd w:val="clear" w:color="auto" w:fill="auto"/>
            <w:tcMar>
              <w:top w:w="100" w:type="dxa"/>
              <w:left w:w="100" w:type="dxa"/>
              <w:bottom w:w="100" w:type="dxa"/>
              <w:right w:w="100" w:type="dxa"/>
            </w:tcMar>
            <w:vAlign w:val="center"/>
          </w:tcPr>
          <w:p w14:paraId="332F4909" w14:textId="54576E44" w:rsidR="00B63E93" w:rsidRPr="008008D3" w:rsidRDefault="007655AB" w:rsidP="00C62BE4">
            <w:pPr>
              <w:widowControl w:val="0"/>
              <w:spacing w:line="360" w:lineRule="auto"/>
              <w:rPr>
                <w:rFonts w:ascii="Calibri" w:eastAsia="Calibri" w:hAnsi="Calibri" w:cs="Calibri"/>
                <w:color w:val="002060"/>
                <w:sz w:val="24"/>
                <w:szCs w:val="24"/>
              </w:rPr>
            </w:pPr>
            <w:r w:rsidRPr="008008D3">
              <w:rPr>
                <w:rFonts w:ascii="Calibri" w:eastAsia="Calibri" w:hAnsi="Calibri" w:cs="Calibri"/>
                <w:color w:val="002060"/>
                <w:sz w:val="24"/>
                <w:szCs w:val="24"/>
              </w:rPr>
              <w:t>3</w:t>
            </w:r>
          </w:p>
        </w:tc>
      </w:tr>
      <w:tr w:rsidR="008008D3" w:rsidRPr="008008D3" w14:paraId="6F5D3686" w14:textId="77777777">
        <w:tc>
          <w:tcPr>
            <w:tcW w:w="6977" w:type="dxa"/>
            <w:shd w:val="clear" w:color="auto" w:fill="auto"/>
            <w:tcMar>
              <w:top w:w="100" w:type="dxa"/>
              <w:left w:w="100" w:type="dxa"/>
              <w:bottom w:w="100" w:type="dxa"/>
              <w:right w:w="100" w:type="dxa"/>
            </w:tcMar>
            <w:vAlign w:val="center"/>
          </w:tcPr>
          <w:p w14:paraId="184A18F2" w14:textId="77777777" w:rsidR="00B63E93" w:rsidRPr="008008D3" w:rsidRDefault="00B76FCC" w:rsidP="00C62BE4">
            <w:pPr>
              <w:widowControl w:val="0"/>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pessoas indígenas</w:t>
            </w:r>
          </w:p>
        </w:tc>
        <w:tc>
          <w:tcPr>
            <w:tcW w:w="6977" w:type="dxa"/>
            <w:shd w:val="clear" w:color="auto" w:fill="auto"/>
            <w:tcMar>
              <w:top w:w="100" w:type="dxa"/>
              <w:left w:w="100" w:type="dxa"/>
              <w:bottom w:w="100" w:type="dxa"/>
              <w:right w:w="100" w:type="dxa"/>
            </w:tcMar>
            <w:vAlign w:val="center"/>
          </w:tcPr>
          <w:p w14:paraId="6DABB575" w14:textId="3A0DBFA6" w:rsidR="00B63E93" w:rsidRPr="008008D3" w:rsidRDefault="009E3F72" w:rsidP="00C62BE4">
            <w:pPr>
              <w:widowControl w:val="0"/>
              <w:spacing w:line="360" w:lineRule="auto"/>
              <w:rPr>
                <w:rFonts w:ascii="Calibri" w:eastAsia="Calibri" w:hAnsi="Calibri" w:cs="Calibri"/>
                <w:color w:val="002060"/>
                <w:sz w:val="24"/>
                <w:szCs w:val="24"/>
              </w:rPr>
            </w:pPr>
            <w:r w:rsidRPr="008008D3">
              <w:rPr>
                <w:rFonts w:ascii="Calibri" w:eastAsia="Calibri" w:hAnsi="Calibri" w:cs="Calibri"/>
                <w:color w:val="002060"/>
                <w:sz w:val="24"/>
                <w:szCs w:val="24"/>
              </w:rPr>
              <w:t>1</w:t>
            </w:r>
          </w:p>
        </w:tc>
      </w:tr>
      <w:tr w:rsidR="00A82A0D" w:rsidRPr="008008D3" w14:paraId="42BD29FD" w14:textId="77777777">
        <w:tc>
          <w:tcPr>
            <w:tcW w:w="6977" w:type="dxa"/>
            <w:shd w:val="clear" w:color="auto" w:fill="auto"/>
            <w:tcMar>
              <w:top w:w="100" w:type="dxa"/>
              <w:left w:w="100" w:type="dxa"/>
              <w:bottom w:w="100" w:type="dxa"/>
              <w:right w:w="100" w:type="dxa"/>
            </w:tcMar>
            <w:vAlign w:val="center"/>
          </w:tcPr>
          <w:p w14:paraId="6601979B" w14:textId="77777777" w:rsidR="00B63E93" w:rsidRPr="008008D3" w:rsidRDefault="00B76FCC" w:rsidP="00C62BE4">
            <w:pPr>
              <w:widowControl w:val="0"/>
              <w:spacing w:line="360" w:lineRule="auto"/>
              <w:rPr>
                <w:rFonts w:ascii="Calibri" w:eastAsia="Calibri" w:hAnsi="Calibri" w:cs="Calibri"/>
                <w:b/>
                <w:color w:val="002060"/>
                <w:sz w:val="24"/>
                <w:szCs w:val="24"/>
              </w:rPr>
            </w:pPr>
            <w:r w:rsidRPr="008008D3">
              <w:rPr>
                <w:rFonts w:ascii="Calibri" w:eastAsia="Calibri" w:hAnsi="Calibri" w:cs="Calibri"/>
                <w:b/>
                <w:color w:val="002060"/>
                <w:sz w:val="24"/>
                <w:szCs w:val="24"/>
              </w:rPr>
              <w:t>pessoas com deficiência</w:t>
            </w:r>
          </w:p>
        </w:tc>
        <w:tc>
          <w:tcPr>
            <w:tcW w:w="6977" w:type="dxa"/>
            <w:shd w:val="clear" w:color="auto" w:fill="auto"/>
            <w:tcMar>
              <w:top w:w="100" w:type="dxa"/>
              <w:left w:w="100" w:type="dxa"/>
              <w:bottom w:w="100" w:type="dxa"/>
              <w:right w:w="100" w:type="dxa"/>
            </w:tcMar>
            <w:vAlign w:val="center"/>
          </w:tcPr>
          <w:p w14:paraId="662208EC" w14:textId="4D2B265F" w:rsidR="00B63E93" w:rsidRPr="008008D3" w:rsidRDefault="009E3F72" w:rsidP="00C62BE4">
            <w:pPr>
              <w:widowControl w:val="0"/>
              <w:spacing w:line="360" w:lineRule="auto"/>
              <w:rPr>
                <w:rFonts w:ascii="Calibri" w:eastAsia="Calibri" w:hAnsi="Calibri" w:cs="Calibri"/>
                <w:color w:val="002060"/>
                <w:sz w:val="24"/>
                <w:szCs w:val="24"/>
              </w:rPr>
            </w:pPr>
            <w:r w:rsidRPr="008008D3">
              <w:rPr>
                <w:rFonts w:ascii="Calibri" w:eastAsia="Calibri" w:hAnsi="Calibri" w:cs="Calibri"/>
                <w:color w:val="002060"/>
                <w:sz w:val="24"/>
                <w:szCs w:val="24"/>
              </w:rPr>
              <w:t>1</w:t>
            </w:r>
          </w:p>
        </w:tc>
      </w:tr>
    </w:tbl>
    <w:p w14:paraId="463505C7"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3037A410"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7C6C1AC1" w14:textId="77777777"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14:paraId="7B2B6DC5"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As cotas mínimas para pessoas negras (pretas ou pardas), pessoas indígenas e pessoas com deficiência seguem o previsto no Capítulo II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14:paraId="4C1F0D89"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5E571B0E"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O Ente Federativo responsável pelo Edital poderá definir cotas (no percentual máximo de 50% das vagas reservadas) para Pontos e Pontões de Cultura já certificados pelo Ministério da Cultura, </w:t>
      </w:r>
      <w:r w:rsidRPr="008008D3">
        <w:rPr>
          <w:rFonts w:ascii="Calibri" w:eastAsia="Calibri" w:hAnsi="Calibri" w:cs="Calibri"/>
          <w:color w:val="002060"/>
          <w:sz w:val="24"/>
          <w:szCs w:val="24"/>
          <w:u w:val="single"/>
        </w:rPr>
        <w:t>apenas no caso de não definir bonificações em pontuação extra (Anexo 02)</w:t>
      </w:r>
      <w:r w:rsidRPr="008008D3">
        <w:rPr>
          <w:rFonts w:ascii="Calibri" w:eastAsia="Calibri" w:hAnsi="Calibri" w:cs="Calibri"/>
          <w:color w:val="002060"/>
          <w:sz w:val="24"/>
          <w:szCs w:val="24"/>
        </w:rPr>
        <w:t>. Inclusive, pode não adotar cotas para Pontos e Pontões de Cultura já certificados pelo Ministério da Cultura, a seu critério.</w:t>
      </w:r>
    </w:p>
    <w:p w14:paraId="4EB5E391"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32E818B4"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Caso opte por algum percentual de cotas para Pontos e Pontões de Cultura já certificados pelo Ministério da Cultura, a certificação não poderá ser em data posterior a 30 de junho de 2024 (considerando as inscrições efetuadas até 30 de março de 2024, pois o prazo de certificação, pela Comissão de Certificação do Cadastro Nacional de Pontos e Pontões de Cultura, é de até 90 dias). E não poderá ser definida cota por tempo de certificação, pois não há como se garantir a precisão deste tipo de informação.</w:t>
      </w:r>
    </w:p>
    <w:p w14:paraId="0D0881DE" w14:textId="77777777"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14:paraId="1A6AD846" w14:textId="77777777"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Conforme consta na Portaria Nº 80/2023 do Ministério da Cultura (que regulamenta a PNAB), não poderá ser adotado qualquer outro cadastro (como Cadastro Estadual e/ou Municipal de Pontos de Cultura, ou qualquer outro cadastro) para cotas. Apenas o Cadastro Nacional de Pontos e Pontões de Cultura poderá ser objeto de cotas.</w:t>
      </w:r>
    </w:p>
    <w:sectPr w:rsidR="00B63E93" w:rsidRPr="008008D3">
      <w:headerReference w:type="default" r:id="rId6"/>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CFA62" w14:textId="77777777" w:rsidR="001E6CB9" w:rsidRDefault="001E6CB9">
      <w:pPr>
        <w:spacing w:line="240" w:lineRule="auto"/>
      </w:pPr>
      <w:r>
        <w:separator/>
      </w:r>
    </w:p>
  </w:endnote>
  <w:endnote w:type="continuationSeparator" w:id="0">
    <w:p w14:paraId="386B81E7" w14:textId="77777777" w:rsidR="001E6CB9" w:rsidRDefault="001E6C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16ACE" w14:textId="77777777" w:rsidR="001E6CB9" w:rsidRDefault="001E6CB9">
      <w:pPr>
        <w:spacing w:line="240" w:lineRule="auto"/>
      </w:pPr>
      <w:r>
        <w:separator/>
      </w:r>
    </w:p>
  </w:footnote>
  <w:footnote w:type="continuationSeparator" w:id="0">
    <w:p w14:paraId="1CC7D9D5" w14:textId="77777777" w:rsidR="001E6CB9" w:rsidRDefault="001E6C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BE268" w14:textId="77777777" w:rsidR="00B63E93" w:rsidRDefault="009115AD">
    <w:pPr>
      <w:tabs>
        <w:tab w:val="center" w:pos="4252"/>
        <w:tab w:val="right" w:pos="8504"/>
      </w:tabs>
      <w:spacing w:line="240" w:lineRule="auto"/>
      <w:jc w:val="center"/>
    </w:pPr>
    <w:r>
      <w:rPr>
        <w:noProof/>
      </w:rPr>
      <w:drawing>
        <wp:anchor distT="0" distB="0" distL="114300" distR="114300" simplePos="0" relativeHeight="251661312" behindDoc="1" locked="0" layoutInCell="1" allowOverlap="1" wp14:anchorId="4E348E52" wp14:editId="5144CB9C">
          <wp:simplePos x="0" y="0"/>
          <wp:positionH relativeFrom="column">
            <wp:posOffset>-698500</wp:posOffset>
          </wp:positionH>
          <wp:positionV relativeFrom="paragraph">
            <wp:posOffset>-618754</wp:posOffset>
          </wp:positionV>
          <wp:extent cx="7358141" cy="1224951"/>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58141" cy="1224951"/>
                  </a:xfrm>
                  <a:prstGeom prst="rect">
                    <a:avLst/>
                  </a:prstGeom>
                </pic:spPr>
              </pic:pic>
            </a:graphicData>
          </a:graphic>
          <wp14:sizeRelH relativeFrom="page">
            <wp14:pctWidth>0</wp14:pctWidth>
          </wp14:sizeRelH>
          <wp14:sizeRelV relativeFrom="page">
            <wp14:pctHeight>0</wp14:pctHeight>
          </wp14:sizeRelV>
        </wp:anchor>
      </w:drawing>
    </w:r>
    <w:r w:rsidR="00B76FCC">
      <w:rPr>
        <w:noProof/>
      </w:rPr>
      <mc:AlternateContent>
        <mc:Choice Requires="wps">
          <w:drawing>
            <wp:anchor distT="0" distB="0" distL="114300" distR="114300" simplePos="0" relativeHeight="251660288" behindDoc="0" locked="0" layoutInCell="1" hidden="0" allowOverlap="1" wp14:anchorId="5744081F" wp14:editId="67F86F0B">
              <wp:simplePos x="0" y="0"/>
              <wp:positionH relativeFrom="column">
                <wp:posOffset>-63499</wp:posOffset>
              </wp:positionH>
              <wp:positionV relativeFrom="paragraph">
                <wp:posOffset>393700</wp:posOffset>
              </wp:positionV>
              <wp:extent cx="5808345" cy="12700"/>
              <wp:effectExtent l="0" t="0" r="0" b="0"/>
              <wp:wrapNone/>
              <wp:docPr id="3" name="Conector de Seta Reta 3"/>
              <wp:cNvGraphicFramePr/>
              <a:graphic xmlns:a="http://schemas.openxmlformats.org/drawingml/2006/main">
                <a:graphicData uri="http://schemas.microsoft.com/office/word/2010/wordprocessingShape">
                  <wps:wsp>
                    <wps:cNvCnPr/>
                    <wps:spPr>
                      <a:xfrm>
                        <a:off x="2441828" y="3780000"/>
                        <a:ext cx="5808345" cy="0"/>
                      </a:xfrm>
                      <a:prstGeom prst="straightConnector1">
                        <a:avLst/>
                      </a:prstGeom>
                      <a:noFill/>
                      <a:ln w="9525" cap="flat" cmpd="sng">
                        <a:solidFill>
                          <a:srgbClr val="002060"/>
                        </a:solidFill>
                        <a:prstDash val="solid"/>
                        <a:round/>
                        <a:headEnd type="none" w="sm" len="sm"/>
                        <a:tailEnd type="none" w="sm" len="sm"/>
                      </a:ln>
                    </wps:spPr>
                    <wps:bodyPr/>
                  </wps:wsp>
                </a:graphicData>
              </a:graphic>
            </wp:anchor>
          </w:drawing>
        </mc:Choice>
        <mc:Fallback>
          <w:pict>
            <v:shapetype w14:anchorId="6D6FF8FF" id="_x0000_t32" coordsize="21600,21600" o:spt="32" o:oned="t" path="m,l21600,21600e" filled="f">
              <v:path arrowok="t" fillok="f" o:connecttype="none"/>
              <o:lock v:ext="edit" shapetype="t"/>
            </v:shapetype>
            <v:shape id="Conector de Seta Reta 3" o:spid="_x0000_s1026" type="#_x0000_t32" style="position:absolute;margin-left:-5pt;margin-top:31pt;width:457.35pt;height: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" strokecolor="#002060">
              <v:stroke startarrowwidth="narrow" startarrowlength="short" endarrowwidth="narrow" endarrowlength="short"/>
            </v:shape>
          </w:pict>
        </mc:Fallback>
      </mc:AlternateContent>
    </w:r>
  </w:p>
  <w:p w14:paraId="04A98DBF" w14:textId="77777777" w:rsidR="00B63E93" w:rsidRDefault="00B63E93">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E93"/>
    <w:rsid w:val="000F4061"/>
    <w:rsid w:val="001E6CB9"/>
    <w:rsid w:val="003244BB"/>
    <w:rsid w:val="0033692E"/>
    <w:rsid w:val="00380D37"/>
    <w:rsid w:val="003D0824"/>
    <w:rsid w:val="004046A9"/>
    <w:rsid w:val="00467E60"/>
    <w:rsid w:val="004E5997"/>
    <w:rsid w:val="00555E9C"/>
    <w:rsid w:val="00697451"/>
    <w:rsid w:val="006B0548"/>
    <w:rsid w:val="006F508B"/>
    <w:rsid w:val="00727C78"/>
    <w:rsid w:val="007655AB"/>
    <w:rsid w:val="008008D3"/>
    <w:rsid w:val="008F338D"/>
    <w:rsid w:val="009115AD"/>
    <w:rsid w:val="009E3F72"/>
    <w:rsid w:val="00A03260"/>
    <w:rsid w:val="00A4326F"/>
    <w:rsid w:val="00A82A0D"/>
    <w:rsid w:val="00A91C9F"/>
    <w:rsid w:val="00B63E93"/>
    <w:rsid w:val="00B70FDC"/>
    <w:rsid w:val="00B76FCC"/>
    <w:rsid w:val="00C62BE4"/>
    <w:rsid w:val="00CC64EA"/>
    <w:rsid w:val="00CF4D62"/>
    <w:rsid w:val="00D10541"/>
    <w:rsid w:val="00E667BC"/>
    <w:rsid w:val="00F864C8"/>
    <w:rsid w:val="00FD4A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5932A"/>
  <w15:docId w15:val="{186757CD-7BD3-49D1-BC7A-CAE34AD9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F864C8"/>
    <w:pPr>
      <w:tabs>
        <w:tab w:val="center" w:pos="4252"/>
        <w:tab w:val="right" w:pos="8504"/>
      </w:tabs>
      <w:spacing w:line="240" w:lineRule="auto"/>
    </w:pPr>
  </w:style>
  <w:style w:type="character" w:customStyle="1" w:styleId="CabealhoChar">
    <w:name w:val="Cabeçalho Char"/>
    <w:basedOn w:val="Fontepargpadro"/>
    <w:link w:val="Cabealho"/>
    <w:uiPriority w:val="99"/>
    <w:rsid w:val="00F864C8"/>
  </w:style>
  <w:style w:type="paragraph" w:styleId="Rodap">
    <w:name w:val="footer"/>
    <w:basedOn w:val="Normal"/>
    <w:link w:val="RodapChar"/>
    <w:uiPriority w:val="99"/>
    <w:unhideWhenUsed/>
    <w:rsid w:val="00F864C8"/>
    <w:pPr>
      <w:tabs>
        <w:tab w:val="center" w:pos="4252"/>
        <w:tab w:val="right" w:pos="8504"/>
      </w:tabs>
      <w:spacing w:line="240" w:lineRule="auto"/>
    </w:pPr>
  </w:style>
  <w:style w:type="character" w:customStyle="1" w:styleId="RodapChar">
    <w:name w:val="Rodapé Char"/>
    <w:basedOn w:val="Fontepargpadro"/>
    <w:link w:val="Rodap"/>
    <w:uiPriority w:val="99"/>
    <w:rsid w:val="00F86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1554</Words>
  <Characters>8396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Henrique</cp:lastModifiedBy>
  <cp:revision>21</cp:revision>
  <dcterms:created xsi:type="dcterms:W3CDTF">2024-08-07T11:15:00Z</dcterms:created>
  <dcterms:modified xsi:type="dcterms:W3CDTF">2024-09-16T12:33:00Z</dcterms:modified>
</cp:coreProperties>
</file>